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66683a7d7394823ff3e0cef01812bb95">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ee2a86c6b4cd1802bc9b46f778f5cab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DC9E51F-4AE9-4ED3-BFB6-38722F644448}"/>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